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C" w:rsidRDefault="00135568">
      <w:pPr>
        <w:pStyle w:val="Standard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僑務委員會僑務研究</w:t>
      </w:r>
      <w:proofErr w:type="gramStart"/>
      <w:r>
        <w:rPr>
          <w:rFonts w:eastAsia="標楷體"/>
          <w:b/>
          <w:color w:val="000000"/>
          <w:sz w:val="32"/>
          <w:szCs w:val="32"/>
        </w:rPr>
        <w:t>碩</w:t>
      </w:r>
      <w:proofErr w:type="gramEnd"/>
      <w:r>
        <w:rPr>
          <w:rFonts w:eastAsia="標楷體"/>
          <w:b/>
          <w:color w:val="000000"/>
          <w:sz w:val="32"/>
          <w:szCs w:val="32"/>
        </w:rPr>
        <w:t>博士論文獎助作業要點修正規定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92 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9 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18 </w:t>
      </w:r>
      <w:r>
        <w:rPr>
          <w:rFonts w:ascii="標楷體" w:eastAsia="標楷體" w:hAnsi="標楷體"/>
          <w:color w:val="000000"/>
          <w:sz w:val="20"/>
          <w:szCs w:val="20"/>
        </w:rPr>
        <w:t>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</w:t>
      </w:r>
      <w:r>
        <w:rPr>
          <w:rFonts w:ascii="標楷體" w:eastAsia="標楷體" w:hAnsi="標楷體"/>
          <w:color w:val="000000"/>
          <w:sz w:val="20"/>
          <w:szCs w:val="20"/>
        </w:rPr>
        <w:t>09230377391</w:t>
      </w:r>
      <w:r>
        <w:rPr>
          <w:rFonts w:ascii="標楷體" w:eastAsia="標楷體" w:hAnsi="標楷體"/>
          <w:color w:val="000000"/>
          <w:sz w:val="20"/>
          <w:szCs w:val="20"/>
        </w:rPr>
        <w:t>號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函發布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96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3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27</w:t>
      </w:r>
      <w:r>
        <w:rPr>
          <w:rFonts w:ascii="標楷體" w:eastAsia="標楷體" w:hAnsi="標楷體"/>
          <w:color w:val="000000"/>
          <w:sz w:val="20"/>
          <w:szCs w:val="20"/>
        </w:rPr>
        <w:t>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</w:t>
      </w:r>
      <w:r>
        <w:rPr>
          <w:rFonts w:ascii="標楷體" w:eastAsia="標楷體" w:hAnsi="標楷體"/>
          <w:color w:val="000000"/>
          <w:sz w:val="20"/>
          <w:szCs w:val="20"/>
        </w:rPr>
        <w:t>09630097881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97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6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</w:t>
      </w:r>
      <w:r>
        <w:rPr>
          <w:rFonts w:ascii="標楷體" w:eastAsia="標楷體" w:hAnsi="標楷體"/>
          <w:color w:val="000000"/>
          <w:sz w:val="20"/>
          <w:szCs w:val="20"/>
        </w:rPr>
        <w:t>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</w:t>
      </w:r>
      <w:r>
        <w:rPr>
          <w:rFonts w:ascii="標楷體" w:eastAsia="標楷體" w:hAnsi="標楷體"/>
          <w:color w:val="000000"/>
          <w:sz w:val="20"/>
          <w:szCs w:val="20"/>
        </w:rPr>
        <w:t>09730201551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101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8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30</w:t>
      </w:r>
      <w:r>
        <w:rPr>
          <w:rFonts w:ascii="標楷體" w:eastAsia="標楷體" w:hAnsi="標楷體"/>
          <w:color w:val="000000"/>
          <w:sz w:val="20"/>
          <w:szCs w:val="20"/>
        </w:rPr>
        <w:t>日僑二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企字第</w:t>
      </w:r>
      <w:r>
        <w:rPr>
          <w:rFonts w:ascii="標楷體" w:eastAsia="標楷體" w:hAnsi="標楷體"/>
          <w:color w:val="000000"/>
          <w:sz w:val="20"/>
          <w:szCs w:val="20"/>
        </w:rPr>
        <w:t>1010202602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104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3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25</w:t>
      </w:r>
      <w:r>
        <w:rPr>
          <w:rFonts w:ascii="標楷體" w:eastAsia="標楷體" w:hAnsi="標楷體"/>
          <w:color w:val="000000"/>
          <w:sz w:val="20"/>
          <w:szCs w:val="20"/>
        </w:rPr>
        <w:t>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</w:t>
      </w:r>
      <w:r>
        <w:rPr>
          <w:rFonts w:ascii="標楷體" w:eastAsia="標楷體" w:hAnsi="標楷體"/>
          <w:color w:val="000000"/>
          <w:sz w:val="20"/>
          <w:szCs w:val="20"/>
        </w:rPr>
        <w:t>10407004461</w:t>
      </w:r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105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4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29</w:t>
      </w:r>
      <w:r>
        <w:rPr>
          <w:rFonts w:ascii="標楷體" w:eastAsia="標楷體" w:hAnsi="標楷體"/>
          <w:color w:val="000000"/>
          <w:sz w:val="20"/>
          <w:szCs w:val="20"/>
        </w:rPr>
        <w:t>日僑綜合字第</w:t>
      </w:r>
      <w:r>
        <w:rPr>
          <w:rFonts w:ascii="標楷體" w:eastAsia="標楷體" w:hAnsi="標楷體"/>
          <w:color w:val="000000"/>
          <w:sz w:val="20"/>
          <w:szCs w:val="20"/>
        </w:rPr>
        <w:t>10507003941</w:t>
      </w:r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107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2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27</w:t>
      </w:r>
      <w:r>
        <w:rPr>
          <w:rFonts w:ascii="標楷體" w:eastAsia="標楷體" w:hAnsi="標楷體"/>
          <w:color w:val="000000"/>
          <w:sz w:val="20"/>
          <w:szCs w:val="20"/>
        </w:rPr>
        <w:t>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</w:t>
      </w:r>
      <w:r>
        <w:rPr>
          <w:rFonts w:ascii="標楷體" w:eastAsia="標楷體" w:hAnsi="標楷體"/>
          <w:color w:val="000000"/>
          <w:sz w:val="20"/>
          <w:szCs w:val="20"/>
        </w:rPr>
        <w:t>1070700238</w:t>
      </w:r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35568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/>
          <w:color w:val="000000"/>
          <w:sz w:val="20"/>
          <w:szCs w:val="20"/>
        </w:rPr>
        <w:t>108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12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2</w:t>
      </w:r>
      <w:r>
        <w:rPr>
          <w:rFonts w:ascii="標楷體" w:eastAsia="標楷體" w:hAnsi="標楷體"/>
          <w:color w:val="000000"/>
          <w:sz w:val="20"/>
          <w:szCs w:val="20"/>
        </w:rPr>
        <w:t>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</w:t>
      </w:r>
      <w:r>
        <w:rPr>
          <w:rFonts w:ascii="標楷體" w:eastAsia="標楷體" w:hAnsi="標楷體"/>
          <w:color w:val="000000"/>
          <w:sz w:val="20"/>
          <w:szCs w:val="20"/>
        </w:rPr>
        <w:t>10807019711</w:t>
      </w:r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1F433C" w:rsidRDefault="001F433C">
      <w:pPr>
        <w:pStyle w:val="Standard"/>
        <w:ind w:left="2834"/>
        <w:rPr>
          <w:rFonts w:eastAsia="標楷體"/>
          <w:color w:val="000000"/>
          <w:sz w:val="20"/>
          <w:szCs w:val="20"/>
        </w:rPr>
      </w:pPr>
    </w:p>
    <w:p w:rsidR="001F433C" w:rsidRDefault="00135568">
      <w:pPr>
        <w:pStyle w:val="Textbodyindent"/>
        <w:spacing w:line="64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一、宗旨：</w:t>
      </w:r>
    </w:p>
    <w:p w:rsidR="001F433C" w:rsidRDefault="00135568">
      <w:pPr>
        <w:pStyle w:val="Textbodyindent"/>
        <w:spacing w:line="640" w:lineRule="exact"/>
        <w:ind w:left="566" w:hanging="566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僑務委員會（以下簡稱本會）為鼓勵國內各大學院校研究生對僑務之研究，特訂定本要點。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二、獎助對象：</w:t>
      </w:r>
    </w:p>
    <w:p w:rsidR="001F433C" w:rsidRDefault="00135568">
      <w:pPr>
        <w:pStyle w:val="Textbodyindent"/>
        <w:spacing w:line="640" w:lineRule="exac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國內各大學院校撰寫與僑務</w:t>
      </w:r>
      <w:proofErr w:type="gramStart"/>
      <w:r>
        <w:rPr>
          <w:color w:val="000000"/>
          <w:sz w:val="28"/>
          <w:szCs w:val="28"/>
        </w:rPr>
        <w:t>相關碩</w:t>
      </w:r>
      <w:proofErr w:type="gramEnd"/>
      <w:r>
        <w:rPr>
          <w:color w:val="000000"/>
          <w:sz w:val="28"/>
          <w:szCs w:val="28"/>
        </w:rPr>
        <w:t>、博士論文之當學年度及上一學年度畢業研究生。</w:t>
      </w:r>
    </w:p>
    <w:p w:rsidR="001F433C" w:rsidRDefault="00135568">
      <w:pPr>
        <w:pStyle w:val="Textbodyindent"/>
        <w:spacing w:line="640" w:lineRule="exac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以同一學位論文重複向本會申請獎助者，不予受理。但如係於上一學年度提出申請，因申請資料內容不全，致資格審查結果未通過者，不在此限。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三、名額及獎助金金額（含稅）：</w:t>
      </w:r>
    </w:p>
    <w:p w:rsidR="001F433C" w:rsidRDefault="00135568">
      <w:pPr>
        <w:pStyle w:val="Textbodyindent"/>
        <w:spacing w:line="640" w:lineRule="exact"/>
        <w:ind w:left="567" w:hanging="14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每年獎助名額以碩士班畢業研究生八名，博士班畢業研究生四名</w:t>
      </w:r>
    </w:p>
    <w:p w:rsidR="001F433C" w:rsidRDefault="00135568">
      <w:pPr>
        <w:pStyle w:val="Textbodyindent"/>
        <w:spacing w:line="640" w:lineRule="exact"/>
        <w:ind w:left="567" w:hanging="143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為原則，並得由本會視預算及參與審查論文篇數調整之；獎助金發放標準規定於附件一。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四、獎助範圍：</w:t>
      </w:r>
    </w:p>
    <w:p w:rsidR="001F433C" w:rsidRDefault="00135568">
      <w:pPr>
        <w:pStyle w:val="Textbodyindent"/>
        <w:numPr>
          <w:ilvl w:val="0"/>
          <w:numId w:val="9"/>
        </w:numPr>
        <w:spacing w:line="640" w:lineRule="exact"/>
        <w:ind w:left="993" w:hanging="851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>獎助論文之主題應以僑務研究為優先，包括：民國三十九年</w:t>
      </w:r>
      <w:r>
        <w:rPr>
          <w:rFonts w:ascii="標楷體" w:hAnsi="標楷體" w:cs="標楷體"/>
          <w:color w:val="000000"/>
          <w:sz w:val="28"/>
          <w:szCs w:val="28"/>
        </w:rPr>
        <w:lastRenderedPageBreak/>
        <w:t>以後之僑務政策、僑團（社）僑情、僑民文教、僑民經濟、僑生教育、各國僑務機關及政策等僑務相關主題之研究。</w:t>
      </w:r>
    </w:p>
    <w:p w:rsidR="001F433C" w:rsidRDefault="00135568">
      <w:pPr>
        <w:pStyle w:val="Textbodyindent"/>
        <w:numPr>
          <w:ilvl w:val="0"/>
          <w:numId w:val="5"/>
        </w:numPr>
        <w:spacing w:line="640" w:lineRule="exact"/>
        <w:ind w:left="993" w:hanging="851"/>
        <w:jc w:val="both"/>
        <w:rPr>
          <w:color w:val="000000"/>
        </w:rPr>
      </w:pPr>
      <w:r>
        <w:rPr>
          <w:rFonts w:ascii="標楷體" w:hAnsi="標楷體" w:cs="標楷體"/>
          <w:color w:val="000000"/>
          <w:sz w:val="28"/>
          <w:szCs w:val="28"/>
        </w:rPr>
        <w:t>本會得因應時勢發展，公布建議之研究</w:t>
      </w:r>
      <w:r>
        <w:rPr>
          <w:rFonts w:ascii="標楷體" w:hAnsi="標楷體" w:cs="標楷體"/>
          <w:color w:val="000000"/>
          <w:sz w:val="28"/>
          <w:szCs w:val="28"/>
        </w:rPr>
        <w:t>主題，並於評審時優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予考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量，裨益僑務政策之參考與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擘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劃之需要</w:t>
      </w:r>
      <w:r>
        <w:rPr>
          <w:color w:val="000000"/>
          <w:sz w:val="28"/>
          <w:szCs w:val="28"/>
        </w:rPr>
        <w:t>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五、申請方式及期間：</w:t>
      </w:r>
    </w:p>
    <w:p w:rsidR="001F433C" w:rsidRDefault="00135568">
      <w:pPr>
        <w:pStyle w:val="Textbodyindent"/>
        <w:spacing w:line="640" w:lineRule="exact"/>
        <w:ind w:left="588" w:firstLine="0"/>
        <w:jc w:val="both"/>
        <w:rPr>
          <w:color w:val="000000"/>
        </w:rPr>
      </w:pPr>
      <w:r>
        <w:rPr>
          <w:rFonts w:ascii="標楷體" w:hAnsi="標楷體" w:cs="標楷體"/>
          <w:color w:val="000000"/>
          <w:sz w:val="28"/>
          <w:szCs w:val="28"/>
        </w:rPr>
        <w:t>凡符合獎助對象與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範圍之碩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、博士論文應經指導教授推薦，並檢附申請表、推薦表、論文摘要表、證明文件表、著作權授權書（附件二至附件六）、參與審查之論文八份及其他相關資料文件，於每年六月一日至八月三十一日（以郵戳為憑）向本會提出申請</w:t>
      </w:r>
      <w:r>
        <w:rPr>
          <w:color w:val="000000"/>
          <w:sz w:val="28"/>
          <w:szCs w:val="28"/>
        </w:rPr>
        <w:t>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六、審查方式：</w:t>
      </w:r>
    </w:p>
    <w:p w:rsidR="001F433C" w:rsidRDefault="00135568">
      <w:pPr>
        <w:pStyle w:val="Textbodyindent"/>
        <w:spacing w:line="640" w:lineRule="exact"/>
        <w:ind w:left="566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由本會</w:t>
      </w:r>
      <w:proofErr w:type="gramStart"/>
      <w:r>
        <w:rPr>
          <w:color w:val="000000"/>
          <w:sz w:val="28"/>
          <w:szCs w:val="28"/>
        </w:rPr>
        <w:t>遴</w:t>
      </w:r>
      <w:proofErr w:type="gramEnd"/>
      <w:r>
        <w:rPr>
          <w:color w:val="000000"/>
          <w:sz w:val="28"/>
          <w:szCs w:val="28"/>
        </w:rPr>
        <w:t>邀</w:t>
      </w:r>
      <w:r>
        <w:rPr>
          <w:rFonts w:ascii="標楷體" w:hAnsi="標楷體" w:cs="標楷體"/>
          <w:color w:val="000000"/>
          <w:sz w:val="28"/>
          <w:szCs w:val="28"/>
        </w:rPr>
        <w:t>相關研究之學者專家三名擔任審查委員審定之。審查程序及審查評分標準規定於附件七及附件八。</w:t>
      </w:r>
    </w:p>
    <w:p w:rsidR="001F433C" w:rsidRDefault="00135568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七、獎助金支付方式：</w:t>
      </w:r>
    </w:p>
    <w:p w:rsidR="001F433C" w:rsidRDefault="00135568">
      <w:pPr>
        <w:pStyle w:val="Textbodyindent"/>
        <w:spacing w:line="640" w:lineRule="exact"/>
        <w:ind w:left="56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得獎者應</w:t>
      </w:r>
      <w:proofErr w:type="gramStart"/>
      <w:r>
        <w:rPr>
          <w:color w:val="000000"/>
          <w:sz w:val="28"/>
          <w:szCs w:val="28"/>
        </w:rPr>
        <w:t>檢送領據</w:t>
      </w:r>
      <w:proofErr w:type="gramEnd"/>
      <w:r>
        <w:rPr>
          <w:color w:val="000000"/>
          <w:sz w:val="28"/>
          <w:szCs w:val="28"/>
        </w:rPr>
        <w:t>至本會，</w:t>
      </w:r>
      <w:proofErr w:type="gramStart"/>
      <w:r>
        <w:rPr>
          <w:color w:val="000000"/>
          <w:sz w:val="28"/>
          <w:szCs w:val="28"/>
        </w:rPr>
        <w:t>俾</w:t>
      </w:r>
      <w:proofErr w:type="gramEnd"/>
      <w:r>
        <w:rPr>
          <w:color w:val="000000"/>
          <w:sz w:val="28"/>
          <w:szCs w:val="28"/>
        </w:rPr>
        <w:t>憑撥款；領</w:t>
      </w:r>
      <w:proofErr w:type="gramStart"/>
      <w:r>
        <w:rPr>
          <w:color w:val="000000"/>
          <w:sz w:val="28"/>
          <w:szCs w:val="28"/>
        </w:rPr>
        <w:t>據須載</w:t>
      </w:r>
      <w:proofErr w:type="gramEnd"/>
      <w:r>
        <w:rPr>
          <w:color w:val="000000"/>
          <w:sz w:val="28"/>
          <w:szCs w:val="28"/>
        </w:rPr>
        <w:t>明金額、領款人姓名、出生年月日、身分證字號（居留證號碼）及戶籍（國外）地址，並親自簽名。</w:t>
      </w:r>
    </w:p>
    <w:p w:rsidR="001F433C" w:rsidRDefault="00135568">
      <w:pPr>
        <w:pStyle w:val="Textbodyindent"/>
        <w:spacing w:line="640" w:lineRule="exact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八、得獎之研究論文若有侵害他人之著作權者，經主管機關調解成立或司法機關判決確定者，得獎者獲贈之獎助金應繳回，並自負法律責任。</w:t>
      </w:r>
    </w:p>
    <w:p w:rsidR="001F433C" w:rsidRDefault="00135568">
      <w:pPr>
        <w:pStyle w:val="Textbodyindent"/>
        <w:spacing w:line="640" w:lineRule="exact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九、本會得視需要邀請得獎並接受獎助</w:t>
      </w:r>
      <w:proofErr w:type="gramStart"/>
      <w:r>
        <w:rPr>
          <w:color w:val="000000"/>
          <w:sz w:val="28"/>
          <w:szCs w:val="28"/>
        </w:rPr>
        <w:t>金者蒞會</w:t>
      </w:r>
      <w:proofErr w:type="gramEnd"/>
      <w:r>
        <w:rPr>
          <w:color w:val="000000"/>
          <w:sz w:val="28"/>
          <w:szCs w:val="28"/>
        </w:rPr>
        <w:t>就論文內容作專題報告或演講；並得將其論文</w:t>
      </w:r>
      <w:proofErr w:type="gramStart"/>
      <w:r>
        <w:rPr>
          <w:color w:val="000000"/>
          <w:sz w:val="28"/>
          <w:szCs w:val="28"/>
        </w:rPr>
        <w:t>編纂集冊</w:t>
      </w:r>
      <w:proofErr w:type="gramEnd"/>
      <w:r>
        <w:rPr>
          <w:color w:val="000000"/>
          <w:sz w:val="28"/>
          <w:szCs w:val="28"/>
        </w:rPr>
        <w:t>（含光碟）出版。</w:t>
      </w:r>
    </w:p>
    <w:p w:rsidR="001F433C" w:rsidRDefault="001F433C">
      <w:pPr>
        <w:pStyle w:val="Standard"/>
        <w:spacing w:line="640" w:lineRule="exact"/>
        <w:rPr>
          <w:color w:val="000000"/>
          <w:sz w:val="28"/>
          <w:szCs w:val="28"/>
        </w:rPr>
      </w:pPr>
    </w:p>
    <w:sectPr w:rsidR="001F433C">
      <w:headerReference w:type="default" r:id="rId8"/>
      <w:pgSz w:w="11906" w:h="16838"/>
      <w:pgMar w:top="1276" w:right="1701" w:bottom="1440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68" w:rsidRDefault="00135568">
      <w:pPr>
        <w:rPr>
          <w:rFonts w:hint="eastAsia"/>
        </w:rPr>
      </w:pPr>
      <w:r>
        <w:separator/>
      </w:r>
    </w:p>
  </w:endnote>
  <w:endnote w:type="continuationSeparator" w:id="0">
    <w:p w:rsidR="00135568" w:rsidRDefault="001355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68" w:rsidRDefault="001355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5568" w:rsidRDefault="001355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6" w:rsidRDefault="00135568">
    <w:pPr>
      <w:pStyle w:val="a5"/>
      <w:rPr>
        <w:rFonts w:eastAsia="Times New Roman"/>
      </w:rPr>
    </w:pPr>
    <w:r>
      <w:rPr>
        <w:rFonts w:eastAsia="Times New Roman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D76"/>
    <w:multiLevelType w:val="multilevel"/>
    <w:tmpl w:val="95BCE996"/>
    <w:styleLink w:val="WW8Num6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7261E1"/>
    <w:multiLevelType w:val="multilevel"/>
    <w:tmpl w:val="6CF2F63E"/>
    <w:styleLink w:val="WW8Num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1C29CA"/>
    <w:multiLevelType w:val="multilevel"/>
    <w:tmpl w:val="D8F26B2E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B2732F"/>
    <w:multiLevelType w:val="multilevel"/>
    <w:tmpl w:val="4BBE0982"/>
    <w:styleLink w:val="WW8Num5"/>
    <w:lvl w:ilvl="0">
      <w:start w:val="1"/>
      <w:numFmt w:val="japaneseCounting"/>
      <w:lvlText w:val="（%1）"/>
      <w:lvlJc w:val="left"/>
      <w:rPr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6D3239C"/>
    <w:multiLevelType w:val="multilevel"/>
    <w:tmpl w:val="B0E85FBC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9974CAF"/>
    <w:multiLevelType w:val="multilevel"/>
    <w:tmpl w:val="5300A5F0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3E2215"/>
    <w:multiLevelType w:val="multilevel"/>
    <w:tmpl w:val="917CC49C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4A4456E"/>
    <w:multiLevelType w:val="multilevel"/>
    <w:tmpl w:val="BEC6518E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33C"/>
    <w:rsid w:val="00135568"/>
    <w:rsid w:val="001F433C"/>
    <w:rsid w:val="008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b1">
    <w:name w:val="b1"/>
    <w:basedOn w:val="HTML"/>
    <w:pPr>
      <w:widowControl/>
      <w:spacing w:line="420" w:lineRule="exact"/>
      <w:ind w:left="1200" w:hanging="840"/>
    </w:pPr>
    <w:rPr>
      <w:rFonts w:ascii="標楷體" w:eastAsia="標楷體" w:hAnsi="標楷體" w:cs="Arial Unicode MS"/>
      <w:color w:val="000000"/>
      <w:sz w:val="28"/>
    </w:rPr>
  </w:style>
  <w:style w:type="paragraph" w:customStyle="1" w:styleId="Textbodyindent">
    <w:name w:val="Text body indent"/>
    <w:basedOn w:val="Standard"/>
    <w:pPr>
      <w:ind w:left="480" w:hanging="480"/>
    </w:pPr>
    <w:rPr>
      <w:rFonts w:eastAsia="標楷體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b1">
    <w:name w:val="b1"/>
    <w:basedOn w:val="HTML"/>
    <w:pPr>
      <w:widowControl/>
      <w:spacing w:line="420" w:lineRule="exact"/>
      <w:ind w:left="1200" w:hanging="840"/>
    </w:pPr>
    <w:rPr>
      <w:rFonts w:ascii="標楷體" w:eastAsia="標楷體" w:hAnsi="標楷體" w:cs="Arial Unicode MS"/>
      <w:color w:val="000000"/>
      <w:sz w:val="28"/>
    </w:rPr>
  </w:style>
  <w:style w:type="paragraph" w:customStyle="1" w:styleId="Textbodyindent">
    <w:name w:val="Text body indent"/>
    <w:basedOn w:val="Standard"/>
    <w:pPr>
      <w:ind w:left="480" w:hanging="480"/>
    </w:pPr>
    <w:rPr>
      <w:rFonts w:eastAsia="標楷體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僑務委員會華僑事務研究碩博士論文獎作業要點</dc:title>
  <dc:creator>florian</dc:creator>
  <cp:lastModifiedBy>sai</cp:lastModifiedBy>
  <cp:revision>1</cp:revision>
  <cp:lastPrinted>2019-11-26T11:32:00Z</cp:lastPrinted>
  <dcterms:created xsi:type="dcterms:W3CDTF">2019-11-07T16:55:00Z</dcterms:created>
  <dcterms:modified xsi:type="dcterms:W3CDTF">2021-05-17T03:49:00Z</dcterms:modified>
</cp:coreProperties>
</file>